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96" w:rsidRDefault="0047492F">
      <w:pPr>
        <w:spacing w:line="360" w:lineRule="auto"/>
        <w:ind w:left="-360" w:right="-185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-762000</wp:posOffset>
            </wp:positionV>
            <wp:extent cx="7563485" cy="1068768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62880" cy="10686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МИНИСТЕРСТВО ЗДРАВООХРАНЕНИЯ РЕСПУБЛИКИ БЕЛАРУСЬ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4927"/>
        <w:gridCol w:w="4360"/>
      </w:tblGrid>
      <w:tr w:rsidR="000C3496">
        <w:tc>
          <w:tcPr>
            <w:tcW w:w="4927" w:type="dxa"/>
            <w:shd w:val="clear" w:color="auto" w:fill="auto"/>
          </w:tcPr>
          <w:p w:rsidR="000C3496" w:rsidRDefault="000C3496">
            <w:pPr>
              <w:ind w:right="317" w:firstLine="709"/>
              <w:jc w:val="right"/>
              <w:rPr>
                <w:sz w:val="30"/>
                <w:szCs w:val="30"/>
              </w:rPr>
            </w:pPr>
          </w:p>
        </w:tc>
        <w:tc>
          <w:tcPr>
            <w:tcW w:w="4360" w:type="dxa"/>
            <w:shd w:val="clear" w:color="auto" w:fill="auto"/>
          </w:tcPr>
          <w:p w:rsidR="000C3496" w:rsidRDefault="000C3496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0C3496" w:rsidRDefault="000C3496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0C3496" w:rsidRDefault="0047492F">
            <w:pPr>
              <w:tabs>
                <w:tab w:val="left" w:pos="-816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0C3496" w:rsidRDefault="0047492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Министра</w:t>
            </w:r>
          </w:p>
          <w:p w:rsidR="000C3496" w:rsidRDefault="0047492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 Е.Л.Богдан</w:t>
            </w:r>
          </w:p>
          <w:p w:rsidR="000C3496" w:rsidRDefault="0047492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______________2020 г.</w:t>
            </w:r>
          </w:p>
          <w:p w:rsidR="000C3496" w:rsidRDefault="000C3496">
            <w:pPr>
              <w:jc w:val="both"/>
              <w:rPr>
                <w:sz w:val="30"/>
                <w:szCs w:val="30"/>
              </w:rPr>
            </w:pPr>
          </w:p>
          <w:p w:rsidR="000C3496" w:rsidRDefault="0047492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Регистрационный № 074-0720</w:t>
            </w:r>
          </w:p>
        </w:tc>
      </w:tr>
    </w:tbl>
    <w:p w:rsidR="000C3496" w:rsidRDefault="000C3496">
      <w:pPr>
        <w:ind w:left="2986" w:firstLine="421"/>
        <w:jc w:val="both"/>
        <w:rPr>
          <w:color w:val="000000"/>
          <w:sz w:val="30"/>
          <w:szCs w:val="30"/>
        </w:rPr>
      </w:pPr>
    </w:p>
    <w:p w:rsidR="000C3496" w:rsidRDefault="000C3496">
      <w:pPr>
        <w:ind w:left="2986" w:firstLine="421"/>
        <w:jc w:val="both"/>
        <w:rPr>
          <w:color w:val="000000"/>
          <w:sz w:val="30"/>
          <w:szCs w:val="30"/>
        </w:rPr>
      </w:pPr>
    </w:p>
    <w:p w:rsidR="000C3496" w:rsidRDefault="000C3496">
      <w:pPr>
        <w:ind w:left="2986" w:firstLine="421"/>
        <w:jc w:val="both"/>
        <w:rPr>
          <w:color w:val="000000"/>
          <w:sz w:val="30"/>
          <w:szCs w:val="30"/>
        </w:rPr>
      </w:pPr>
    </w:p>
    <w:p w:rsidR="000C3496" w:rsidRDefault="000C3496">
      <w:pPr>
        <w:ind w:left="2986" w:firstLine="421"/>
        <w:jc w:val="both"/>
        <w:rPr>
          <w:color w:val="000000"/>
          <w:sz w:val="30"/>
          <w:szCs w:val="30"/>
        </w:rPr>
      </w:pPr>
    </w:p>
    <w:p w:rsidR="000C3496" w:rsidRDefault="000C3496">
      <w:pPr>
        <w:ind w:left="2986" w:firstLine="421"/>
        <w:jc w:val="both"/>
        <w:rPr>
          <w:color w:val="000000"/>
          <w:sz w:val="30"/>
          <w:szCs w:val="30"/>
        </w:rPr>
      </w:pPr>
    </w:p>
    <w:p w:rsidR="000C3496" w:rsidRDefault="0047492F">
      <w:pPr>
        <w:pStyle w:val="Style7"/>
        <w:widowControl/>
        <w:spacing w:before="19" w:line="360" w:lineRule="auto"/>
        <w:ind w:firstLine="0"/>
        <w:jc w:val="center"/>
        <w:rPr>
          <w:rStyle w:val="FontStyle16"/>
          <w:bCs/>
          <w:sz w:val="30"/>
          <w:szCs w:val="30"/>
        </w:rPr>
      </w:pPr>
      <w:bookmarkStart w:id="1" w:name="_gjdgxs"/>
      <w:bookmarkEnd w:id="1"/>
      <w:r>
        <w:rPr>
          <w:b/>
          <w:color w:val="000000"/>
          <w:sz w:val="30"/>
          <w:szCs w:val="30"/>
        </w:rPr>
        <w:t xml:space="preserve">МЕТОД ОПРЕДЕЛЕНИЯ ВЕРОЯТНОСТИ РАЗВИТИЯ ХРОНИЧЕСКИХ ДИФФУЗНЫХ </w:t>
      </w:r>
      <w:bookmarkStart w:id="2" w:name="_Hlk41821447"/>
      <w:bookmarkEnd w:id="2"/>
      <w:r>
        <w:rPr>
          <w:rStyle w:val="FontStyle16"/>
          <w:bCs/>
          <w:sz w:val="30"/>
          <w:szCs w:val="30"/>
        </w:rPr>
        <w:t xml:space="preserve">ЗАБОЛЕВАНИЙ ПЕЧЕНИ, ОСНОВАННЫЙ НА ОПРЕДЕЛЕНИИ ЭЛАСТАЗНОЙ АКТИВНОСТИ СЫВОРОТКИ КРОВИ </w:t>
      </w:r>
    </w:p>
    <w:p w:rsidR="000C3496" w:rsidRDefault="0047492F">
      <w:pPr>
        <w:spacing w:before="19"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инструкция по применению</w:t>
      </w: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0C3496">
      <w:pPr>
        <w:ind w:right="8455"/>
        <w:jc w:val="both"/>
        <w:rPr>
          <w:color w:val="000000"/>
          <w:sz w:val="30"/>
          <w:szCs w:val="30"/>
        </w:rPr>
      </w:pPr>
    </w:p>
    <w:p w:rsidR="000C3496" w:rsidRDefault="0047492F">
      <w:pPr>
        <w:ind w:right="3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УЧРЕЖДЕНИЕ-РАЗРАБОТЧИК</w:t>
      </w:r>
      <w:r>
        <w:rPr>
          <w:color w:val="000000"/>
          <w:sz w:val="30"/>
          <w:szCs w:val="30"/>
        </w:rPr>
        <w:t>: учреждение образования «Витебский государственный ордена Дружбы народов медицинский университет»</w:t>
      </w:r>
    </w:p>
    <w:p w:rsidR="000C3496" w:rsidRDefault="000C3496">
      <w:pPr>
        <w:ind w:right="38" w:firstLine="470"/>
        <w:rPr>
          <w:color w:val="000000"/>
          <w:sz w:val="30"/>
          <w:szCs w:val="30"/>
        </w:rPr>
      </w:pPr>
    </w:p>
    <w:p w:rsidR="000C3496" w:rsidRDefault="000C3496">
      <w:pPr>
        <w:ind w:right="38" w:firstLine="470"/>
        <w:rPr>
          <w:color w:val="000000"/>
          <w:sz w:val="30"/>
          <w:szCs w:val="30"/>
        </w:rPr>
      </w:pPr>
    </w:p>
    <w:p w:rsidR="000C3496" w:rsidRDefault="000C3496">
      <w:pPr>
        <w:ind w:right="38" w:firstLine="470"/>
        <w:rPr>
          <w:color w:val="000000"/>
          <w:sz w:val="30"/>
          <w:szCs w:val="30"/>
        </w:rPr>
      </w:pPr>
    </w:p>
    <w:p w:rsidR="000C3496" w:rsidRDefault="000C3496">
      <w:pPr>
        <w:ind w:right="38" w:firstLine="470"/>
        <w:rPr>
          <w:color w:val="000000"/>
          <w:sz w:val="30"/>
          <w:szCs w:val="30"/>
        </w:rPr>
      </w:pPr>
    </w:p>
    <w:p w:rsidR="000C3496" w:rsidRDefault="0047492F">
      <w:pPr>
        <w:ind w:right="-82"/>
        <w:jc w:val="both"/>
        <w:rPr>
          <w:color w:val="000000"/>
          <w:spacing w:val="-6"/>
          <w:sz w:val="30"/>
          <w:szCs w:val="30"/>
        </w:rPr>
      </w:pPr>
      <w:r>
        <w:rPr>
          <w:b/>
          <w:color w:val="000000"/>
          <w:spacing w:val="-6"/>
          <w:sz w:val="30"/>
          <w:szCs w:val="30"/>
        </w:rPr>
        <w:t>АВТОРЫ</w:t>
      </w:r>
      <w:r>
        <w:rPr>
          <w:color w:val="000000"/>
          <w:spacing w:val="-6"/>
          <w:sz w:val="30"/>
          <w:szCs w:val="30"/>
        </w:rPr>
        <w:t>: д.м.н.,</w:t>
      </w:r>
      <w:r>
        <w:rPr>
          <w:color w:val="000000"/>
          <w:spacing w:val="-6"/>
          <w:sz w:val="30"/>
          <w:szCs w:val="30"/>
        </w:rPr>
        <w:t xml:space="preserve"> профессор Юпатов Г.И., к.м.н., доцент Окулич В.К., Прищепенко В.А. </w:t>
      </w:r>
    </w:p>
    <w:p w:rsidR="000C3496" w:rsidRDefault="000C3496">
      <w:pPr>
        <w:pStyle w:val="Style9"/>
        <w:widowControl/>
        <w:spacing w:before="91" w:line="360" w:lineRule="auto"/>
        <w:ind w:firstLine="0"/>
        <w:jc w:val="left"/>
        <w:rPr>
          <w:rStyle w:val="FontStyle14"/>
          <w:sz w:val="30"/>
          <w:szCs w:val="30"/>
        </w:rPr>
      </w:pPr>
    </w:p>
    <w:p w:rsidR="000C3496" w:rsidRDefault="000C3496">
      <w:pPr>
        <w:pStyle w:val="Style2"/>
        <w:widowControl/>
        <w:spacing w:before="235" w:line="360" w:lineRule="auto"/>
        <w:ind w:left="3840"/>
        <w:rPr>
          <w:rStyle w:val="FontStyle14"/>
          <w:sz w:val="30"/>
          <w:szCs w:val="30"/>
        </w:rPr>
      </w:pPr>
    </w:p>
    <w:p w:rsidR="000C3496" w:rsidRDefault="0047492F">
      <w:pPr>
        <w:pStyle w:val="Style2"/>
        <w:widowControl/>
        <w:spacing w:before="235" w:line="360" w:lineRule="auto"/>
        <w:jc w:val="center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Витебск, 2020</w:t>
      </w:r>
    </w:p>
    <w:p w:rsidR="000C3496" w:rsidRDefault="0047492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настоящей инструкции (далее – инструкция) изложен метод определения вероятности развития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хронических диффузных заболеваний печени (далее – ХДЗП), основанный на определении </w:t>
      </w:r>
      <w:r>
        <w:rPr>
          <w:sz w:val="30"/>
          <w:szCs w:val="30"/>
        </w:rPr>
        <w:t xml:space="preserve">эластазной </w:t>
      </w:r>
      <w:r>
        <w:rPr>
          <w:color w:val="000000"/>
          <w:sz w:val="30"/>
          <w:szCs w:val="30"/>
        </w:rPr>
        <w:t>активности сыворотки крови, который может быть использован в комплексе медицинских услуг, направленных на диагностику и медицинскую профилактику хронического гепа</w:t>
      </w:r>
      <w:r>
        <w:rPr>
          <w:color w:val="000000"/>
          <w:sz w:val="30"/>
          <w:szCs w:val="30"/>
        </w:rPr>
        <w:t>тита (К70.1, К71.3-К71.6, К73), фиброза и цирроза печени (К70.3, К71.6, К74).</w:t>
      </w:r>
    </w:p>
    <w:p w:rsidR="000C3496" w:rsidRDefault="0047492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Инструкция предназначена для врачей-гастроэнтерологов, врачей-терапевтов, врачей лабораторной диагностики и иных врачей-специалистов организаций здравоохранения, оказывающих меди</w:t>
      </w:r>
      <w:r>
        <w:rPr>
          <w:color w:val="000000"/>
          <w:sz w:val="30"/>
          <w:szCs w:val="30"/>
        </w:rPr>
        <w:t xml:space="preserve">цинскую помощь пациентам с заболеваниями печени в стационарных и (или) амбулаторных условиях, и (или) в условиях отделения дневного пребывания. </w:t>
      </w:r>
    </w:p>
    <w:p w:rsidR="000C3496" w:rsidRDefault="000C3496">
      <w:pPr>
        <w:pStyle w:val="Style2"/>
        <w:widowControl/>
        <w:ind w:firstLine="709"/>
        <w:rPr>
          <w:sz w:val="30"/>
          <w:szCs w:val="30"/>
        </w:rPr>
      </w:pP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ПЕРЕЧЕНЬ НЕОБХОДИМЫХМЕДИЦИНСКИХ ИЗДЕЛИЙ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-одноразовые системы взятия крови (типа шприц-</w:t>
      </w:r>
      <w:r>
        <w:rPr>
          <w:color w:val="000000"/>
          <w:sz w:val="30"/>
          <w:szCs w:val="30"/>
        </w:rPr>
        <w:t xml:space="preserve">пробирка, обеспечивающая как поршневой способ забора крови, так и вакуумный и  вакуумные системы, обеспечивающие сбор крови вакуумным методом;  </w:t>
      </w:r>
      <w:r>
        <w:rPr>
          <w:rStyle w:val="FontStyle14"/>
          <w:sz w:val="30"/>
          <w:szCs w:val="30"/>
        </w:rPr>
        <w:t>при их отсутствии- стерильные одноразовые шприцы: 10 мл, 20 мл);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вата медицинская;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стерильные пробирки объем</w:t>
      </w:r>
      <w:r>
        <w:rPr>
          <w:rStyle w:val="FontStyle14"/>
          <w:sz w:val="30"/>
          <w:szCs w:val="30"/>
        </w:rPr>
        <w:t>ом 15 мл с крышками;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весы лабораторные по ГОСТ 19491–74;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разновесы по ГОСТ 7328–65;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колбы с градуированной горловиной по ГОСТ 12738–77;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термостат электрический суховоздушный с автоматическим терморегулятором и ценой целения 0,1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холодильная кам</w:t>
      </w:r>
      <w:r>
        <w:rPr>
          <w:rStyle w:val="FontStyle14"/>
          <w:sz w:val="30"/>
          <w:szCs w:val="30"/>
        </w:rPr>
        <w:t>ера с температурой (+)4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С, морозильная камера с температурой (-)20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центрифуга лабораторная клиническая;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спектрофотометр многоканальный с возможностью измерения при длине волны 492 нм;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автоматические регулируемые пипетки со стерильными наконечникам</w:t>
      </w:r>
      <w:r>
        <w:rPr>
          <w:rStyle w:val="FontStyle14"/>
          <w:sz w:val="30"/>
          <w:szCs w:val="30"/>
        </w:rPr>
        <w:t>и вместимостью 100-1000 мкл, 20-200 мкл;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рН-метр;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пробирки стеклянные по ГОСТ 10515–75;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пробирки пластиковые типа «Эппендорф» по 1,5 мл;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вода дистиллированная по ГОСТ 7609 – 72;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трис-(гидроксиметил)-аминометан (сухое вещество);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- 0,1 М раствор со</w:t>
      </w:r>
      <w:r>
        <w:rPr>
          <w:rStyle w:val="FontStyle14"/>
          <w:sz w:val="30"/>
          <w:szCs w:val="30"/>
        </w:rPr>
        <w:t>ляной кислоты;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полистироловый планшет для ИФА;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эластин-конго красный (сухое вещество);</w:t>
      </w:r>
    </w:p>
    <w:p w:rsidR="000C3496" w:rsidRDefault="0047492F">
      <w:pPr>
        <w:pStyle w:val="Style8"/>
        <w:widowControl/>
        <w:tabs>
          <w:tab w:val="left" w:pos="1042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- 0,9% раствор натрия хлорида.</w:t>
      </w:r>
    </w:p>
    <w:p w:rsidR="000C3496" w:rsidRDefault="0047492F">
      <w:pPr>
        <w:pStyle w:val="Style8"/>
        <w:widowControl/>
        <w:tabs>
          <w:tab w:val="left" w:pos="902"/>
        </w:tabs>
        <w:spacing w:line="36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ПОКАЗАНИЯ К ПРИМЕНЕНИЮ</w:t>
      </w:r>
    </w:p>
    <w:p w:rsidR="000C3496" w:rsidRDefault="0047492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Заболевания и патологические состояния, сопровождающиеся жалобами, которые могут соответствовать хроническому диффузному заболеванию печени </w:t>
      </w:r>
      <w:bookmarkStart w:id="3" w:name="_Hlk45705383"/>
      <w:bookmarkStart w:id="4" w:name="_Hlk45705759"/>
      <w:bookmarkEnd w:id="3"/>
      <w:bookmarkEnd w:id="4"/>
      <w:r>
        <w:rPr>
          <w:color w:val="000000"/>
          <w:sz w:val="30"/>
          <w:szCs w:val="30"/>
        </w:rPr>
        <w:t>(К70.1, К70.3, К71.3-К71.6, К73, К74).</w:t>
      </w:r>
    </w:p>
    <w:p w:rsidR="000C3496" w:rsidRDefault="000C3496">
      <w:pPr>
        <w:tabs>
          <w:tab w:val="left" w:pos="902"/>
        </w:tabs>
        <w:ind w:firstLine="709"/>
        <w:jc w:val="both"/>
        <w:rPr>
          <w:b/>
          <w:color w:val="000000"/>
          <w:sz w:val="30"/>
          <w:szCs w:val="30"/>
        </w:rPr>
      </w:pPr>
    </w:p>
    <w:p w:rsidR="000C3496" w:rsidRDefault="0047492F">
      <w:pPr>
        <w:tabs>
          <w:tab w:val="left" w:pos="902"/>
        </w:tabs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ПРОТИВОПОКАЗАНИЯ ДЛЯ ПРИМЕНЕНИЯ</w:t>
      </w:r>
    </w:p>
    <w:p w:rsidR="000C3496" w:rsidRDefault="0047492F">
      <w:pPr>
        <w:tabs>
          <w:tab w:val="left" w:pos="902"/>
        </w:tabs>
        <w:ind w:firstLine="709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Противопоказания, соответствующие таковым дл</w:t>
      </w:r>
      <w:r>
        <w:rPr>
          <w:color w:val="000000"/>
          <w:sz w:val="30"/>
          <w:szCs w:val="30"/>
        </w:rPr>
        <w:t>я венепункции.</w:t>
      </w:r>
    </w:p>
    <w:p w:rsidR="000C3496" w:rsidRDefault="000C3496">
      <w:pPr>
        <w:tabs>
          <w:tab w:val="left" w:pos="902"/>
        </w:tabs>
        <w:ind w:firstLine="709"/>
        <w:jc w:val="both"/>
        <w:rPr>
          <w:b/>
          <w:color w:val="000000"/>
          <w:sz w:val="30"/>
          <w:szCs w:val="30"/>
        </w:rPr>
      </w:pPr>
    </w:p>
    <w:p w:rsidR="000C3496" w:rsidRDefault="0047492F">
      <w:pPr>
        <w:pStyle w:val="Style8"/>
        <w:widowControl/>
        <w:tabs>
          <w:tab w:val="left" w:pos="898"/>
        </w:tabs>
        <w:spacing w:line="36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ОПИСАНИЕ ТЕХНОЛОГИИ ИСПОЛЬЗОВАНИЯ МЕТОДА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left="709" w:firstLine="0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1. Получение биологического материала.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В качестве биологического материала используют сыворотку крови. Для получения сыворотки крови в стерильные маркированные пробирки с крышками (оранжевого цвета) </w:t>
      </w:r>
      <w:r>
        <w:rPr>
          <w:rStyle w:val="FontStyle14"/>
          <w:sz w:val="30"/>
          <w:szCs w:val="30"/>
        </w:rPr>
        <w:t>собирают периферическою венозную кровь пациента натощак в условиях процедурного кабинета или лаборатории. Кровь в закрытых пробирках выдерживают при комнатной температуре от 30 до 60 минут до образования сгустка. Кровь центрифугируют в течение 10 минут с у</w:t>
      </w:r>
      <w:r>
        <w:rPr>
          <w:rStyle w:val="FontStyle14"/>
          <w:sz w:val="30"/>
          <w:szCs w:val="30"/>
        </w:rPr>
        <w:t>гловой скоростью вращения ротора 10000 оборотов/мин. при комнатной температуре. С помощью автоматической пипетки со стерильными наконечниками, не касаясь слоя форменных элементов, переносят надосадочную жидкость (сыворотку крови) в маркированные пробирки т</w:t>
      </w:r>
      <w:r>
        <w:rPr>
          <w:rStyle w:val="FontStyle14"/>
          <w:sz w:val="30"/>
          <w:szCs w:val="30"/>
        </w:rPr>
        <w:t>ипа «Эппендорф». Для целей, связанных с методом, изложенным в настоящей инструкции, используют сыворотку крови сразу после получения или замораживают и хранят при температуре не выше    (-)20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 не более 1 месяца.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Приготовление 0,2 М трис-HCl буфера c </w:t>
      </w:r>
      <w:r>
        <w:rPr>
          <w:b/>
          <w:bCs/>
          <w:color w:val="000000"/>
          <w:sz w:val="28"/>
          <w:szCs w:val="28"/>
        </w:rPr>
        <w:t>pH-7,4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Для приготовления буферного раствора 6,057 мг трис-(гидроксиметил)-аминометана растворяют в 50 мл дистиллированной воды. К полученному раствору добавляют 42 мл 0,1 М HCl, полученный раствор доводят до рН 7,4. Раствор хранят в холодильнике при </w:t>
      </w:r>
      <w:r>
        <w:rPr>
          <w:rStyle w:val="FontStyle14"/>
          <w:sz w:val="30"/>
          <w:szCs w:val="30"/>
        </w:rPr>
        <w:t>температуре (+)4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 не более месяца.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3. Приготовление рабочего раствора эластин-Конго красного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Для приготовления рабочего раствора 8 мг эластин-Конго красного растворяют в 10 мл рабочего 0,2 М трис-HCl буфера с рН 7,4. Полученный раствор хранят в холодильни</w:t>
      </w:r>
      <w:r>
        <w:rPr>
          <w:rStyle w:val="FontStyle14"/>
          <w:sz w:val="30"/>
          <w:szCs w:val="30"/>
        </w:rPr>
        <w:t xml:space="preserve">ке при температуре (+)4 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 xml:space="preserve">С не более суток. 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4. Постановка реакции для определения эластазной активности сыворотки крови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Постановка реакции проводится в пробирках типа «Эппендорф». Для каждого образца используют две пробы: опытную и контрольную. Реакционная</w:t>
      </w:r>
      <w:r>
        <w:rPr>
          <w:rStyle w:val="FontStyle14"/>
          <w:sz w:val="30"/>
          <w:szCs w:val="30"/>
        </w:rPr>
        <w:t xml:space="preserve"> смесь опытной пробы состоит из 400 мкл рабочего раствора эластин-конго красного в трис-HCl буфере рН 7,4 и 100 мкл сыворотки крови. В контрольную пробу вносят 400 мкл трис-HCl буфера c pH-7,4 и 100 мкл сыворотки крови. Далее проводится инкубация исследуем</w:t>
      </w:r>
      <w:r>
        <w:rPr>
          <w:rStyle w:val="FontStyle14"/>
          <w:sz w:val="30"/>
          <w:szCs w:val="30"/>
        </w:rPr>
        <w:t>ых проб в термостате при (+)37°С в течение 24 ч. После инкубации проводится осаждение не разрушенного эластин-конго красного в центрифуге в течение 10 минут при 10 тыс. оборотов/мин. По 150 мкл надосадочной жидкости переносится в дублях в лунки полистироло</w:t>
      </w:r>
      <w:r>
        <w:rPr>
          <w:rStyle w:val="FontStyle14"/>
          <w:sz w:val="30"/>
          <w:szCs w:val="30"/>
        </w:rPr>
        <w:t xml:space="preserve">вого планшета. 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5. Учет результатов реакции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Учет результатов реакции проводится путем определения оптической плотности проб спектрофотометрически, при длине волны 492 нм.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Для устранения искажения результатов реакции результат вычисляют как разницу между ср</w:t>
      </w:r>
      <w:r>
        <w:rPr>
          <w:rStyle w:val="FontStyle14"/>
          <w:sz w:val="30"/>
          <w:szCs w:val="30"/>
        </w:rPr>
        <w:t>едними показателями опытных и контрольных проб. Пересчет результатов реакции в пикокаталы проводят по формуле 1, полученной при построении калибровочного графика: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X(пкат) = (0,0027 + 1,7 х Аоп)</w:t>
      </w:r>
      <w:r>
        <w:rPr>
          <w:rStyle w:val="FontStyle14"/>
          <w:sz w:val="30"/>
          <w:szCs w:val="30"/>
          <w:vertAlign w:val="superscript"/>
        </w:rPr>
        <w:t>2</w:t>
      </w:r>
      <w:r>
        <w:rPr>
          <w:rStyle w:val="FontStyle14"/>
          <w:sz w:val="30"/>
          <w:szCs w:val="30"/>
        </w:rPr>
        <w:t>(1)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где X – искомый результат; </w:t>
      </w:r>
    </w:p>
    <w:p w:rsidR="000C3496" w:rsidRDefault="0047492F">
      <w:pPr>
        <w:pStyle w:val="Style8"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0,0027 и 1,7 - используемые дл</w:t>
      </w:r>
      <w:r>
        <w:rPr>
          <w:rStyle w:val="FontStyle14"/>
          <w:sz w:val="30"/>
          <w:szCs w:val="30"/>
        </w:rPr>
        <w:t>я расчета эластазной активности постоянные величины;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Аоп – разница оптических плотностей опытной и контрольной проб.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b/>
          <w:bCs/>
          <w:sz w:val="30"/>
          <w:szCs w:val="30"/>
        </w:rPr>
      </w:pPr>
      <w:bookmarkStart w:id="5" w:name="_Hlk530644629"/>
      <w:bookmarkEnd w:id="5"/>
      <w:r>
        <w:rPr>
          <w:b/>
          <w:bCs/>
          <w:sz w:val="30"/>
          <w:szCs w:val="30"/>
        </w:rPr>
        <w:t>6. Клиническая интерпретация результатов</w:t>
      </w: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Выявление эластазной активности сыворотки крови выше 0,35 пкат  указывает на </w:t>
      </w:r>
      <w:r>
        <w:rPr>
          <w:color w:val="000000"/>
          <w:sz w:val="30"/>
          <w:szCs w:val="30"/>
        </w:rPr>
        <w:t>высокую вероятность р</w:t>
      </w:r>
      <w:r>
        <w:rPr>
          <w:color w:val="000000"/>
          <w:sz w:val="30"/>
          <w:szCs w:val="30"/>
        </w:rPr>
        <w:t xml:space="preserve">азвития хронического гепатита </w:t>
      </w:r>
      <w:bookmarkStart w:id="6" w:name="_Hlk45705531"/>
      <w:r>
        <w:rPr>
          <w:color w:val="000000"/>
          <w:sz w:val="30"/>
          <w:szCs w:val="30"/>
        </w:rPr>
        <w:t xml:space="preserve">(К70.1, К71.3-К71.6, К73) </w:t>
      </w:r>
      <w:bookmarkEnd w:id="6"/>
      <w:r>
        <w:rPr>
          <w:color w:val="000000"/>
          <w:sz w:val="30"/>
          <w:szCs w:val="30"/>
        </w:rPr>
        <w:t xml:space="preserve">или фиброза и цирроза печени </w:t>
      </w:r>
      <w:bookmarkStart w:id="7" w:name="_Hlk45705519"/>
      <w:r>
        <w:rPr>
          <w:color w:val="000000"/>
          <w:sz w:val="30"/>
          <w:szCs w:val="30"/>
        </w:rPr>
        <w:t>(К70.3, К71.6, К74)</w:t>
      </w:r>
      <w:bookmarkEnd w:id="7"/>
      <w:r>
        <w:rPr>
          <w:color w:val="000000"/>
          <w:sz w:val="30"/>
          <w:szCs w:val="30"/>
        </w:rPr>
        <w:t>.</w:t>
      </w:r>
    </w:p>
    <w:p w:rsidR="000C3496" w:rsidRDefault="000C3496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b/>
          <w:bCs/>
          <w:sz w:val="30"/>
          <w:szCs w:val="30"/>
        </w:rPr>
      </w:pPr>
    </w:p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ВРЕМЯ, ЗАТРАЧЕННОЕ НА КАЖДЫЙ ЭТАП МЕТОДА (ХРОНОМЕТРИЯ)</w:t>
      </w:r>
    </w:p>
    <w:tbl>
      <w:tblPr>
        <w:tblW w:w="97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539"/>
        <w:gridCol w:w="4225"/>
      </w:tblGrid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3496" w:rsidRDefault="0047492F">
            <w:pPr>
              <w:tabs>
                <w:tab w:val="left" w:pos="567"/>
              </w:tabs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Этап постановки реакции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3496" w:rsidRDefault="0047492F">
            <w:pPr>
              <w:tabs>
                <w:tab w:val="left" w:pos="567"/>
              </w:tabs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Время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Приготовление буферного раствора 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минут (1 раз в месяц)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Приготовление раствора эластин-конго красного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минут (1 раз в сутки)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Постановка реакции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минут (при каждой постановке, для 48 образцов)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Инкубация проб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часа (при каждой постановке)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Центрифугирование проб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минут (при каждой постановке)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Учет </w:t>
            </w:r>
            <w:r>
              <w:rPr>
                <w:sz w:val="30"/>
                <w:szCs w:val="30"/>
              </w:rPr>
              <w:t>результатов реакции (48 проб)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минут (при каждой постановке)</w:t>
            </w:r>
          </w:p>
        </w:tc>
      </w:tr>
      <w:tr w:rsidR="000C3496">
        <w:trPr>
          <w:jc w:val="center"/>
        </w:trPr>
        <w:tc>
          <w:tcPr>
            <w:tcW w:w="5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Клиническая интерпретация полученных данных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3496" w:rsidRDefault="0047492F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минут</w:t>
            </w:r>
          </w:p>
        </w:tc>
      </w:tr>
    </w:tbl>
    <w:p w:rsidR="000C3496" w:rsidRDefault="0047492F">
      <w:pPr>
        <w:pStyle w:val="Style8"/>
        <w:widowControl/>
        <w:tabs>
          <w:tab w:val="left" w:pos="898"/>
        </w:tabs>
        <w:spacing w:line="240" w:lineRule="auto"/>
        <w:ind w:firstLine="709"/>
        <w:jc w:val="both"/>
        <w:rPr>
          <w:rStyle w:val="FontStyle14"/>
          <w:b/>
          <w:bCs/>
          <w:sz w:val="30"/>
          <w:szCs w:val="30"/>
        </w:rPr>
      </w:pPr>
      <w:r>
        <w:rPr>
          <w:rStyle w:val="FontStyle14"/>
          <w:b/>
          <w:bCs/>
          <w:sz w:val="30"/>
          <w:szCs w:val="30"/>
        </w:rPr>
        <w:t>ПЕРЕЧЕНЬ ВОЗМОЖНЫХ ОСЛОЖНЕНИЙ ИЛИ ОШИБОК ПРИ ВЫПОЛНЕНИИ</w:t>
      </w:r>
    </w:p>
    <w:p w:rsidR="000C3496" w:rsidRDefault="0047492F">
      <w:pPr>
        <w:pStyle w:val="Style8"/>
        <w:widowControl/>
        <w:numPr>
          <w:ilvl w:val="0"/>
          <w:numId w:val="1"/>
        </w:numPr>
        <w:tabs>
          <w:tab w:val="left" w:pos="898"/>
        </w:tabs>
        <w:spacing w:beforeAutospacing="1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Нарушение условий получения и хранения биологических материалов может исказить </w:t>
      </w:r>
      <w:r>
        <w:rPr>
          <w:rStyle w:val="FontStyle14"/>
          <w:sz w:val="30"/>
          <w:szCs w:val="30"/>
        </w:rPr>
        <w:t>результат реакции.</w:t>
      </w:r>
    </w:p>
    <w:p w:rsidR="000C3496" w:rsidRDefault="0047492F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Нарушение условий хранения реактивов, использование реактивов с истекшим сроком годности не может гарантировать достоверных результатов.</w:t>
      </w:r>
    </w:p>
    <w:p w:rsidR="000C3496" w:rsidRDefault="0047492F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Неполное растворение реактивов (наличие осадка, нитей, хлопьев при визуальном исследовании) приведет</w:t>
      </w:r>
      <w:r>
        <w:rPr>
          <w:rStyle w:val="FontStyle14"/>
          <w:sz w:val="30"/>
          <w:szCs w:val="30"/>
        </w:rPr>
        <w:t xml:space="preserve"> к изменению их концентрации, что может повлиять на конечный результат.</w:t>
      </w:r>
    </w:p>
    <w:p w:rsidR="000C3496" w:rsidRDefault="0047492F">
      <w:pPr>
        <w:pStyle w:val="Style8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0" w:firstLine="709"/>
        <w:jc w:val="both"/>
      </w:pPr>
      <w:r>
        <w:rPr>
          <w:rStyle w:val="FontStyle14"/>
          <w:sz w:val="30"/>
          <w:szCs w:val="30"/>
        </w:rPr>
        <w:t>Хранение буферного раствора при температуре выше (+)4</w:t>
      </w:r>
      <w:r>
        <w:rPr>
          <w:rStyle w:val="FontStyle14"/>
          <w:sz w:val="30"/>
          <w:szCs w:val="30"/>
          <w:vertAlign w:val="superscript"/>
        </w:rPr>
        <w:t>о</w:t>
      </w:r>
      <w:r>
        <w:rPr>
          <w:rStyle w:val="FontStyle14"/>
          <w:sz w:val="30"/>
          <w:szCs w:val="30"/>
        </w:rPr>
        <w:t>С, может привести к изменению параметров буферной системы и активности ферментов.</w:t>
      </w:r>
    </w:p>
    <w:sectPr w:rsidR="000C3496">
      <w:footerReference w:type="default" r:id="rId8"/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2F" w:rsidRDefault="0047492F">
      <w:r>
        <w:separator/>
      </w:r>
    </w:p>
  </w:endnote>
  <w:endnote w:type="continuationSeparator" w:id="0">
    <w:p w:rsidR="0047492F" w:rsidRDefault="0047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96" w:rsidRDefault="0047492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2F" w:rsidRDefault="0047492F">
      <w:r>
        <w:separator/>
      </w:r>
    </w:p>
  </w:footnote>
  <w:footnote w:type="continuationSeparator" w:id="0">
    <w:p w:rsidR="0047492F" w:rsidRDefault="0047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2B5"/>
    <w:multiLevelType w:val="multilevel"/>
    <w:tmpl w:val="02BE9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42875"/>
    <w:multiLevelType w:val="multilevel"/>
    <w:tmpl w:val="7A7A17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496"/>
    <w:rsid w:val="00017404"/>
    <w:rsid w:val="000C3496"/>
    <w:rsid w:val="004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4AF3E-7F55-4860-85AE-8BD170F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A64E66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qFormat/>
    <w:rsid w:val="00A64E66"/>
    <w:rPr>
      <w:rFonts w:ascii="Times New Roman" w:hAnsi="Times New Roman"/>
      <w:b/>
      <w:sz w:val="2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436CB4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62EF4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F62EF4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3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yle2">
    <w:name w:val="Style2"/>
    <w:basedOn w:val="a"/>
    <w:uiPriority w:val="99"/>
    <w:qFormat/>
    <w:rsid w:val="00A64E66"/>
    <w:pPr>
      <w:widowControl w:val="0"/>
      <w:jc w:val="both"/>
    </w:pPr>
  </w:style>
  <w:style w:type="paragraph" w:customStyle="1" w:styleId="Style10">
    <w:name w:val="Style10"/>
    <w:basedOn w:val="a"/>
    <w:uiPriority w:val="99"/>
    <w:qFormat/>
    <w:rsid w:val="00A64E66"/>
    <w:pPr>
      <w:widowControl w:val="0"/>
      <w:spacing w:line="187" w:lineRule="exact"/>
      <w:ind w:firstLine="336"/>
      <w:jc w:val="both"/>
    </w:pPr>
  </w:style>
  <w:style w:type="paragraph" w:customStyle="1" w:styleId="Style7">
    <w:name w:val="Style7"/>
    <w:basedOn w:val="a"/>
    <w:uiPriority w:val="99"/>
    <w:qFormat/>
    <w:rsid w:val="00A64E66"/>
    <w:pPr>
      <w:widowControl w:val="0"/>
      <w:spacing w:line="187" w:lineRule="exact"/>
      <w:ind w:firstLine="422"/>
      <w:jc w:val="both"/>
    </w:pPr>
  </w:style>
  <w:style w:type="paragraph" w:customStyle="1" w:styleId="Style9">
    <w:name w:val="Style9"/>
    <w:basedOn w:val="a"/>
    <w:uiPriority w:val="99"/>
    <w:qFormat/>
    <w:rsid w:val="00A64E66"/>
    <w:pPr>
      <w:widowControl w:val="0"/>
      <w:spacing w:line="286" w:lineRule="exact"/>
      <w:ind w:firstLine="470"/>
      <w:jc w:val="both"/>
    </w:pPr>
  </w:style>
  <w:style w:type="paragraph" w:customStyle="1" w:styleId="Style8">
    <w:name w:val="Style8"/>
    <w:basedOn w:val="a"/>
    <w:uiPriority w:val="99"/>
    <w:qFormat/>
    <w:rsid w:val="00171B51"/>
    <w:pPr>
      <w:widowControl w:val="0"/>
      <w:spacing w:line="192" w:lineRule="exact"/>
      <w:ind w:hanging="413"/>
    </w:pPr>
  </w:style>
  <w:style w:type="paragraph" w:styleId="ab">
    <w:name w:val="List Paragraph"/>
    <w:basedOn w:val="a"/>
    <w:uiPriority w:val="99"/>
    <w:qFormat/>
    <w:rsid w:val="00A72F95"/>
    <w:pPr>
      <w:ind w:left="720"/>
    </w:pPr>
  </w:style>
  <w:style w:type="paragraph" w:styleId="ac">
    <w:name w:val="Balloon Text"/>
    <w:basedOn w:val="a"/>
    <w:uiPriority w:val="99"/>
    <w:semiHidden/>
    <w:qFormat/>
    <w:rsid w:val="00436CB4"/>
    <w:rPr>
      <w:rFonts w:ascii="Tahoma" w:eastAsia="Calibri" w:hAnsi="Tahoma"/>
      <w:sz w:val="16"/>
      <w:szCs w:val="16"/>
    </w:rPr>
  </w:style>
  <w:style w:type="paragraph" w:styleId="ad">
    <w:name w:val="Normal (Web)"/>
    <w:basedOn w:val="a"/>
    <w:uiPriority w:val="99"/>
    <w:semiHidden/>
    <w:qFormat/>
    <w:rsid w:val="00BA51BD"/>
    <w:pPr>
      <w:spacing w:beforeAutospacing="1" w:afterAutospacing="1"/>
    </w:pPr>
  </w:style>
  <w:style w:type="paragraph" w:styleId="ae">
    <w:name w:val="header"/>
    <w:basedOn w:val="a"/>
    <w:uiPriority w:val="99"/>
    <w:semiHidden/>
    <w:rsid w:val="00F62EF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F62EF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9D49E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uiPriority w:val="99"/>
    <w:rsid w:val="00834962"/>
    <w:rPr>
      <w:szCs w:val="20"/>
      <w:lang w:val="be-BY" w:eastAsia="be-BY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uiPriority w:val="99"/>
    <w:rsid w:val="00834962"/>
    <w:rPr>
      <w:szCs w:val="20"/>
      <w:lang w:val="be-BY" w:eastAsia="be-BY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834962"/>
    <w:rPr>
      <w:szCs w:val="20"/>
      <w:lang w:val="be-BY" w:eastAsia="be-BY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Вячеслав Прищепенко</dc:creator>
  <dc:description/>
  <cp:lastModifiedBy>user</cp:lastModifiedBy>
  <cp:revision>2</cp:revision>
  <cp:lastPrinted>2020-08-29T07:45:00Z</cp:lastPrinted>
  <dcterms:created xsi:type="dcterms:W3CDTF">2020-09-24T08:55:00Z</dcterms:created>
  <dcterms:modified xsi:type="dcterms:W3CDTF">2020-09-24T08:55:00Z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